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4372B"/>
          <w:sz w:val="34"/>
          <w:szCs w:val="34"/>
        </w:rPr>
        <w:t xml:space="preserve">CERTYFIKAT BEZPIECZEŃSTWA DANYCH</w:t>
      </w:r>
    </w:p>
    <w:p>
      <w:pPr>
        <w:spacing w:after="240"/>
      </w:pPr>
      <w:r>
        <w:rPr>
          <w:rFonts w:ascii="Arial" w:cs="Arial" w:eastAsia="Arial" w:hAnsi="Arial"/>
          <w:color w:val="C4A05A"/>
          <w:sz w:val="18"/>
          <w:szCs w:val="18"/>
        </w:rPr>
        <w:t xml:space="preserve">Oświadczenie o standardach ochrony informacji · wydany 10 sierpnia 2026 r.</w:t>
      </w:r>
    </w:p>
    <w:p>
      <w:pPr>
        <w:spacing w:after="10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Kancelaria Nadzoru Prawnego i Mediacji Adam Kałużny z siedzibą w Zielonej Górze, ul. Bohaterów Westerplatte 11/526, oświadcza, że przetwarza dane osobowe i dokumentację klientów zgodnie z rozporządzeniem (UE) 2016/679 (RODO), ustawą o ochronie danych osobowych oraz obowiązkiem poufności postępowania mediacyjnego (art. 183⁴ Kodeksu postępowania cywilnego), stosując opisane niżej środki techniczne i organizacyjne.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4372B"/>
          <w:sz w:val="23"/>
          <w:szCs w:val="23"/>
        </w:rPr>
        <w:t xml:space="preserve">I. Środki techniczne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Szyfrowanie transmisji.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Cała komunikacja z serwisem i systemem kancelaryjnym odbywa się wyłącznie protokołem HTTPS (TLS); połączenia nieszyfrowane są odrzucane.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Szyfrowanie zapisu.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Baza danych oraz repozytorium dokumentów są szyfrowane po stronie dostawcy infrastruktury chmurowej działającego na terenie Europejskiego Obszaru Gospodarczego.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Izolacja danych.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Dostęp do rekordów spraw, klientów i plików ograniczają polityki bezpieczeństwa na poziomie bazy danych (row level security); brak polityki oznacza brak dostępu.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Kopie zapasowe.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Automatyczne kopie zapasowe wykonywane po stronie dostawcy infrastruktury pozwalają odtworzyć dane po awarii.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Brak danych kart płatniczych.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Kancelaria nie przechowuje numerów kart; autoryzacja płatności odbywa się po stronie banku klienta.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4372B"/>
          <w:sz w:val="23"/>
          <w:szCs w:val="23"/>
        </w:rPr>
        <w:t xml:space="preserve">II. Kontrola dostępu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Zamknięty krąg użytkowników.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Do systemu kancelaryjnego mają dostęp wyłącznie dwie imiennie wskazane osoby prowadzące kancelarię. Rejestracja nowych kont jest zablokowana na poziomie bazy danych.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Logowanie bez hasła.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Uwierzytelnienie następuje jednorazowym linkiem wysyłanym na zweryfikowany adres e-mail — w serwisie nie są przechowywane hasła użytkowników.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Biometria urządzenia.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Na komputerach kancelarii dostęp dodatkowo zabezpiecza Touch ID (WebAuthn). Dane biometryczne pozostają wyłącznie na urządzeniu.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Rejestr sesji.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Każde logowanie oraz zamknięcie sesji jest odnotowywane wraz z datą i godziną i potwierdzane wiadomością e-mail, co umożliwia natychmiastowe wykrycie nieuprawnionego dostępu.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Wyłączenie z indeksowania.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Adresy systemu kancelaryjnego są wykluczone z wyszukiwarek internetowych i nie są linkowane z części publicznej serwisu.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4372B"/>
          <w:sz w:val="23"/>
          <w:szCs w:val="23"/>
        </w:rPr>
        <w:t xml:space="preserve">III. Środki organizacyjne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Tajemnica mediacji.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Mediator i osoby uczestniczące w mediacji zachowują w tajemnicy fakty, o których dowiedzieli się w związku z prowadzeniem mediacji (art. 183⁴ KPC).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Minimalizacja danych.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Formularze zbierają wyłącznie dane niezbędne do kontaktu i wstępnej oceny sprawy; dane identyfikacyjne (PESEL, NIP) pozyskiwane są dopiero po zawarciu umowy.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Umowy powierzenia.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Współpraca z dostawcą hostingu, dostawcą poczty i biurem rachunkowym odbywa się na podstawie umów powierzenia przetwarzania danych.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b/>
          <w:bCs/>
          <w:color w:val="3F3F3F"/>
          <w:sz w:val="19"/>
          <w:szCs w:val="19"/>
        </w:rPr>
        <w:t xml:space="preserve">Zakaz komercjalizacji. </w:t>
      </w:r>
      <w:r>
        <w:rPr>
          <w:rFonts w:ascii="Arial" w:cs="Arial" w:eastAsia="Arial" w:hAnsi="Arial"/>
          <w:color w:val="3F3F3F"/>
          <w:sz w:val="19"/>
          <w:szCs w:val="19"/>
        </w:rPr>
        <w:t xml:space="preserve">Dane klientów nie są sprzedawane, udostępniane w celach marketingowych ani wykorzystywane do profilowania reklamowego.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4372B"/>
          <w:sz w:val="23"/>
          <w:szCs w:val="23"/>
        </w:rPr>
        <w:t xml:space="preserve">IV. Okresy przechowywania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zapytania i zgłoszenia bez zawarcia umowy — do 12 miesięcy;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dokumentacja sprawy — 10 lat od zakończenia sprawy;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dokumenty księgowe — 5 lat licząc od końca roku podatkowego.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4372B"/>
          <w:sz w:val="23"/>
          <w:szCs w:val="23"/>
        </w:rPr>
        <w:t xml:space="preserve">V. Postępowanie w razie naruszenia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niezwłoczne zablokowanie dostępu i zabezpieczenie śladów zdarzenia;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ustalenie zakresu naruszenia i kategorii danych, których dotyczy;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zgłoszenie naruszenia Prezesowi Urzędu Ochrony Danych Osobowych w terminie 72 godzin, jeżeli obowiązek taki wynika z art. 33 RODO;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zawiadomienie osób, których dane dotyczą, gdy naruszenie powoduje wysokie ryzyko dla ich praw lub wolności.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4372B"/>
          <w:sz w:val="23"/>
          <w:szCs w:val="23"/>
        </w:rPr>
        <w:t xml:space="preserve">VI. Prawa klienta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dostęp do danych, ich sprostowanie, usunięcie oraz ograniczenie przetwarzania;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przenoszenie danych i sprzeciw wobec przetwarzania opartego na uzasadnionym interesie;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cofnięcie zgody w dowolnym momencie oraz skarga do Prezesa UODO, ul. Stawki 2, 00-193 Warszawa.</w:t>
      </w:r>
    </w:p>
    <w:p>
      <w:pPr>
        <w:spacing w:after="100" w:before="24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>Zgłoszenia dotyczące bezpieczeństwa danych: mediator.kaluzny@gmail.com, tel. 606 139 938.</w:t>
      </w:r>
    </w:p>
    <w:p>
      <w:pPr>
        <w:spacing w:after="10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/>
      </w:r>
    </w:p>
    <w:p>
      <w:pPr>
        <w:spacing w:after="100"/>
      </w:pPr>
      <w:r>
        <w:rPr>
          <w:rFonts w:ascii="Arial" w:cs="Arial" w:eastAsia="Arial" w:hAnsi="Arial"/>
          <w:color w:val="3F3F3F"/>
          <w:sz w:val="19"/>
          <w:szCs w:val="19"/>
        </w:rPr>
        <w:t xml:space="preserve"/>
      </w:r>
    </w:p>
    <w:p>
      <w:pPr>
        <w:pBdr>
          <w:bottom w:val="single" w:color="9A9A9A" w:sz="6" w:space="6"/>
        </w:pBdr>
        <w:spacing w:after="120"/>
        <w:ind w:left="5200"/>
        <w:jc w:val="right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jc w:val="right"/>
      </w:pPr>
      <w:r>
        <w:rPr>
          <w:rFonts w:ascii="Arial" w:cs="Arial" w:eastAsia="Arial" w:hAnsi="Arial"/>
          <w:color w:val="3F3F3F"/>
          <w:sz w:val="18"/>
          <w:szCs w:val="18"/>
        </w:rPr>
        <w:t xml:space="preserve">Adam Kałużny — Kancelaria Nadzoru Prawnego i Mediacji</w:t>
      </w:r>
    </w:p>
    <w:p>
      <w:pPr>
        <w:spacing w:after="240"/>
        <w:jc w:val="right"/>
      </w:pPr>
      <w:r>
        <w:rPr>
          <w:rFonts w:ascii="Arial" w:cs="Arial" w:eastAsia="Arial" w:hAnsi="Arial"/>
          <w:color w:val="3F3F3F"/>
          <w:sz w:val="18"/>
          <w:szCs w:val="18"/>
        </w:rPr>
        <w:t xml:space="preserve">Zielona Góra, 10 sierpnia 2026 r.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0"/>
      </w:tblGrid>
      <w:tr>
        <w:tc>
          <w:tcPr>
            <w:tcW w:type="dxa" w:w="9700"/>
            <w:tcBorders>
              <w:top w:val="single" w:color="C4A05A" w:sz="4"/>
              <w:left w:val="single" w:color="C4A05A" w:sz="4"/>
              <w:bottom w:val="single" w:color="C4A05A" w:sz="4"/>
              <w:right w:val="single" w:color="C4A05A" w:sz="4"/>
            </w:tcBorders>
            <w:shd w:fill="F7F5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Dokument stanowi oświadczenie własne kancelarii o stosowanych standardach bezpieczeństwa. Nie jest certyfikatem wydanym przez jednostkę akredytowaną ani potwierdzeniem zgodności z normami ISO/IEC.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4A05A" w:sz="6" w:space="4"/>
      </w:pBdr>
    </w:pPr>
    <w:r>
      <w:rPr>
        <w:rFonts w:ascii="Arial" w:cs="Arial" w:eastAsia="Arial" w:hAnsi="Arial"/>
        <w:color w:val="7A7A7A"/>
        <w:sz w:val="14"/>
        <w:szCs w:val="14"/>
      </w:rPr>
      <w:t xml:space="preserve">tel. 606 139 938 · mediator.kaluzny@gmail.com · kancelarianadzoruprawnego.lovable.app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552450" cy="552450"/>
          <wp:effectExtent t="0" r="0" b="0" l="0"/>
          <wp:docPr id="1" name="logo" descr="Logo kancelarii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40"/>
    </w:pPr>
    <w:r>
      <w:rPr>
        <w:rFonts w:ascii="Arial" w:cs="Arial" w:eastAsia="Arial" w:hAnsi="Arial"/>
        <w:b/>
        <w:bCs/>
        <w:color w:val="14372B"/>
        <w:sz w:val="22"/>
        <w:szCs w:val="22"/>
      </w:rPr>
      <w:t xml:space="preserve">Kancelaria Nadzoru Prawnego i Mediacji Adam Kałużny</w:t>
    </w:r>
  </w:p>
  <w:p>
    <w:pPr>
      <w:pBdr>
        <w:bottom w:val="single" w:color="C4A05A" w:sz="8" w:space="4"/>
      </w:pBdr>
      <w:spacing w:after="240"/>
    </w:pPr>
    <w:r>
      <w:rPr>
        <w:rFonts w:ascii="Arial" w:cs="Arial" w:eastAsia="Arial" w:hAnsi="Arial"/>
        <w:color w:val="C4A05A"/>
        <w:sz w:val="16"/>
        <w:szCs w:val="16"/>
      </w:rPr>
      <w:t xml:space="preserve">ul. Bohaterów Westerplatte 11/526, 65-001 Zielona Góra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03cbbc57ad0555a7719d9432aca6c613e2d032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2026-08-10T20:32:51.016Z</dcterms:created>
  <dcterms:modified xsi:type="dcterms:W3CDTF">2026-08-10T20:32:51.016Z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